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C" w:rsidRPr="009B521C" w:rsidRDefault="009B521C" w:rsidP="009B5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1C">
        <w:rPr>
          <w:rFonts w:ascii="Times New Roman" w:hAnsi="Times New Roman" w:cs="Times New Roman"/>
          <w:b/>
          <w:sz w:val="32"/>
          <w:szCs w:val="32"/>
        </w:rPr>
        <w:t>МЕЖДУНАРОДНЫЕ КОНТАКТЫ ПРЕПОДАВАТЕЛЕЙ БИОЛОГИЧЕСКОГО ФАКУЛЬТЕТА</w:t>
      </w:r>
    </w:p>
    <w:p w:rsidR="009B521C" w:rsidRPr="009B521C" w:rsidRDefault="009B521C" w:rsidP="009B5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104" w:rsidRDefault="009B521C" w:rsidP="009B5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1C">
        <w:rPr>
          <w:rFonts w:ascii="Times New Roman" w:hAnsi="Times New Roman" w:cs="Times New Roman"/>
          <w:b/>
          <w:sz w:val="32"/>
          <w:szCs w:val="32"/>
        </w:rPr>
        <w:t>2022</w:t>
      </w:r>
      <w:r w:rsidRPr="009B521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046"/>
        <w:gridCol w:w="2766"/>
        <w:gridCol w:w="3260"/>
      </w:tblGrid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Организация-партнер</w:t>
            </w:r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Характер сотрудничества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 of Conservation, Vegetation and Landscape Ecology, University of Vienna</w:t>
            </w:r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инвазионных растений Европы и биологических инвазий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экспериментальной ботаники им. В.Ф.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Купревича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НАН Беларуси</w:t>
            </w:r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лихенофлоры</w:t>
            </w:r>
            <w:proofErr w:type="spellEnd"/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Centro de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Estudios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Optimizaci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&amp;#243;n y Log&amp;#237;stica (CIOL) (Centre for Research on Optimization and Logistics)</w:t>
            </w:r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«Translation of outstanding Russian biological research papers into English»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ЧЕШСКАЯ РЕСПУБЛИКА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Invasion Ecology, Institute of Botany, The Czech Academy of Sciences</w:t>
            </w:r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инвазионных растений Европы и биологических инвазий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Tartu</w:t>
            </w:r>
            <w:proofErr w:type="spellEnd"/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разнообразия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хемотипов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Cetrelia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TLC-анализа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Cominittee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Mapping the Flora of Europe and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Societas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Fennica</w:t>
            </w:r>
            <w:proofErr w:type="spellEnd"/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 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 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«Atlas Florae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Europaeae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Distribution of vascular plants in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Europae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766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Ecology, Department of Biology, University of Konstanz</w:t>
            </w:r>
          </w:p>
        </w:tc>
        <w:tc>
          <w:tcPr>
            <w:tcW w:w="3260" w:type="dxa"/>
          </w:tcPr>
          <w:p w:rsidR="009B521C" w:rsidRPr="009B521C" w:rsidRDefault="009B521C" w:rsidP="0033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инвазионных растений Европы и биологических инвазий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ЮЖНАЯ АФРИКА</w:t>
            </w:r>
          </w:p>
        </w:tc>
        <w:tc>
          <w:tcPr>
            <w:tcW w:w="2766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Johannesburg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Johannesburg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B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«Translation of outstanding Russian biological research papers into English»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766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Международный совет по охране растений (BGCI) Глобальное партнерство по сохранению растений (GPPC)</w:t>
            </w:r>
          </w:p>
        </w:tc>
        <w:tc>
          <w:tcPr>
            <w:tcW w:w="3260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выполнению целевых задач Глобальной стратегии сохранения растений (GSPC), в том числе научные исследования по сохранению редких и исчезающих растений региональной флоры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21C" w:rsidRPr="009B521C" w:rsidTr="009B521C">
        <w:tc>
          <w:tcPr>
            <w:tcW w:w="675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6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766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Самаркандский государственный университет им.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Шарофа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Рашидова</w:t>
            </w:r>
          </w:p>
        </w:tc>
        <w:tc>
          <w:tcPr>
            <w:tcW w:w="3260" w:type="dxa"/>
          </w:tcPr>
          <w:p w:rsidR="009B521C" w:rsidRPr="009B521C" w:rsidRDefault="009B521C" w:rsidP="003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развития Ботанического сада Самаркандского государственного университета им.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Шарофа</w:t>
            </w:r>
            <w:proofErr w:type="spellEnd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 xml:space="preserve"> Рашидова, включая определение основных направлений научных исследований. Разработка научных основ планирования территории и комплектования коллекций. Определение направлений научного сотрудничества с Ботаническим садом Тверского государственного университета и биологическим факультетом </w:t>
            </w:r>
            <w:proofErr w:type="spellStart"/>
            <w:r w:rsidRPr="009B521C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</w:tr>
    </w:tbl>
    <w:p w:rsidR="009B521C" w:rsidRPr="009B521C" w:rsidRDefault="009B521C" w:rsidP="009B5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521C" w:rsidRPr="009B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C"/>
    <w:rsid w:val="009A7104"/>
    <w:rsid w:val="009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2023-09-01T20:28:00Z</dcterms:created>
  <dcterms:modified xsi:type="dcterms:W3CDTF">2023-09-01T20:33:00Z</dcterms:modified>
</cp:coreProperties>
</file>