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968B1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113" w:beforeAutospacing="0" w:line="240" w:lineRule="auto"/>
        <w:ind w:right="0" w:firstLine="0"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Стратегическая программа развития кафедры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 w14:paraId="19DA85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113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Перспективы развития кафедры ботаники связаны с дальнейшим развитием практико-ориентированного естественно-научного образования, цифровой образовательной среды,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прикладных исследований и взаимодействия с профильными организациями региона </w:t>
      </w:r>
      <w:r>
        <w:t xml:space="preserve">в соответствии с приоритетными направлениями развития университета и региона.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 w14:paraId="2163EF83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113" w:beforeAutospacing="0" w:line="240" w:lineRule="auto"/>
        <w:ind w:right="0" w:hanging="578" w:left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Развитие образовательной среды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 w14:paraId="42352AF5">
      <w:pPr>
        <w:pStyle w:val="6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дальнейшее развитие цифровой образовательной среды, включая расширение банка онлайн-курсов, цифровых образовательных ресурсов и автоматизированных фондов оценочных средств;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 w14:paraId="24A2E18F">
      <w:pPr>
        <w:pStyle w:val="6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развитие программ дополнительного профессионального образования, ориентированных на педагогических работников, специалистов природоохранной сферы и организаций реального сектора;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 w14:paraId="101C2BED">
      <w:pPr>
        <w:pStyle w:val="6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расширение практико-ориентированной подготовки обучающихся и взаимодействия с работодателями региона.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 w14:paraId="7B0A9D9F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hanging="578" w:left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Научная и проектная деятельность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 w14:paraId="1776B7F8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разви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тие прикладных исследований и экспертной деятельности в области экологии, природопользования, лесного хозяйства и экологического мониторинга;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 w14:paraId="7A53AC2C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подготовка и участие в научных и прикладных грантовых конкурсах и проектах;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 w14:paraId="2789C295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поддержка публикационной активности преподавателей кафедры, включая публикации в рецензируемых российских и международных научных изданиях;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 w14:paraId="3811B0CB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 межкафедрального и междисциплинарного взаимодействия при реализации образовательных и научных проектов.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6A117BEB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hanging="578" w:left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Кадровое и региональное развитие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 w14:paraId="5B56F512">
      <w:pPr>
        <w:pStyle w:val="66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развити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 сис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темы профориентационной работы со школьниками и обучающимися СПО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 w14:paraId="6DB74AB9">
      <w:pPr>
        <w:pStyle w:val="66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расширение взаимодействия с работодателями и профильными организациями региона;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 w14:paraId="0D8CF676">
      <w:pPr>
        <w:pStyle w:val="66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 механизмов непрерывной практико-ориентированной подготовки обучающихся по траектории «школа/СПО — университет — работодатель»;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7DE4A83B">
      <w:pPr>
        <w:pStyle w:val="66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увеличение контингента обучающихся, в том числе за счет выпускников СПО и практико-ориентированных направлений подгот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овки;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 w14:paraId="5D671B1C">
      <w:pPr>
        <w:pStyle w:val="66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развитие кадрового потенциала кафедры, поддержка молодых преподавателей и обеспечение преемственности научно-педагогической школы;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 w14:paraId="0D767949">
      <w:pPr>
        <w:pStyle w:val="66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дальнейшее развитие научного и образовательного сотрудничества с профильными научными,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образовате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льными и производственными организациями.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 w14:paraId="1E9949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708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 w14:paraId="20B274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708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Кафедра располагает необходимым кадровым, научно-методическим и организационным потенциалом для дальнейшего устойчивого развития, расширения практико-ориентированной подготовки, прикладных исследований и взаимодействия с организациями региона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 w14:paraId="654BCEF8"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931"/>
        <w:gridCol w:w="7654"/>
      </w:tblGrid>
      <w:tr>
        <w:trPr>
          <w:trHeight w:val="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31" w:type="dxa"/>
            <w:vAlign w:val="top"/>
            <w:textDirection w:val="lrTb"/>
            <w:noWrap w:val="false"/>
          </w:tcPr>
          <w:p w14:paraId="4CC0674B">
            <w:pPr>
              <w:pStyle w:val="664"/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ав.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кафедрой ботаники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54" w:type="dxa"/>
            <w:vAlign w:val="top"/>
            <w:textDirection w:val="lrTb"/>
            <w:noWrap w:val="false"/>
          </w:tcPr>
          <w:p w14:paraId="26BC00FA">
            <w:pPr>
              <w:pStyle w:val="664"/>
              <w:pBdr/>
              <w:spacing w:after="0" w:afterAutospacing="0" w:before="0" w:beforeAutospacing="0" w:line="240" w:lineRule="auto"/>
              <w:ind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Мейсурова А.Ф.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68DC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52DAB0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  <w:b w:val="0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01A58C71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  <w:b w:val="0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20D0D26B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  <w:b w:val="0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7721E8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2026-05-25T20:40:51Z</dcterms:modified>
</cp:coreProperties>
</file>